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D168" w14:textId="77777777" w:rsidR="00003D27" w:rsidRDefault="00003D27">
      <w:pPr>
        <w:spacing w:line="259" w:lineRule="auto"/>
        <w:rPr>
          <w:rFonts w:eastAsia="Times New Roman" w:cs="Times New Roman"/>
          <w:b/>
          <w:bCs/>
          <w:color w:val="0E101A"/>
          <w:szCs w:val="24"/>
        </w:rPr>
      </w:pPr>
    </w:p>
    <w:p w14:paraId="735C7D25" w14:textId="77777777" w:rsidR="00003D27" w:rsidRDefault="00003D27">
      <w:pPr>
        <w:spacing w:line="259" w:lineRule="auto"/>
        <w:rPr>
          <w:rFonts w:eastAsia="Times New Roman" w:cs="Times New Roman"/>
          <w:b/>
          <w:bCs/>
          <w:color w:val="0E101A"/>
          <w:szCs w:val="24"/>
        </w:rPr>
      </w:pPr>
    </w:p>
    <w:p w14:paraId="4C605E3F" w14:textId="77777777" w:rsidR="00003D27" w:rsidRDefault="00003D27">
      <w:pPr>
        <w:spacing w:line="259" w:lineRule="auto"/>
        <w:rPr>
          <w:rFonts w:eastAsia="Times New Roman" w:cs="Times New Roman"/>
          <w:b/>
          <w:bCs/>
          <w:color w:val="0E101A"/>
          <w:szCs w:val="24"/>
        </w:rPr>
      </w:pPr>
    </w:p>
    <w:p w14:paraId="56512643" w14:textId="3E39D9AC" w:rsidR="00003D27" w:rsidRDefault="00003D27" w:rsidP="00003D27">
      <w:pPr>
        <w:spacing w:line="259" w:lineRule="auto"/>
        <w:jc w:val="center"/>
        <w:rPr>
          <w:rFonts w:eastAsia="Times New Roman" w:cs="Times New Roman"/>
          <w:b/>
          <w:bCs/>
          <w:color w:val="0E101A"/>
          <w:szCs w:val="24"/>
        </w:rPr>
      </w:pPr>
      <w:r>
        <w:rPr>
          <w:rFonts w:eastAsia="Times New Roman" w:cs="Times New Roman"/>
          <w:b/>
          <w:bCs/>
          <w:color w:val="0E101A"/>
          <w:szCs w:val="24"/>
        </w:rPr>
        <w:t>Assignment Two</w:t>
      </w:r>
    </w:p>
    <w:p w14:paraId="168A8B0D" w14:textId="77777777" w:rsidR="00003D27" w:rsidRDefault="00003D27" w:rsidP="00003D27">
      <w:pPr>
        <w:spacing w:after="0"/>
        <w:ind w:firstLine="720"/>
        <w:jc w:val="center"/>
        <w:rPr>
          <w:rFonts w:eastAsia="Times New Roman" w:cs="Times New Roman"/>
          <w:b/>
          <w:bCs/>
          <w:color w:val="0E101A"/>
          <w:szCs w:val="24"/>
        </w:rPr>
      </w:pPr>
    </w:p>
    <w:p w14:paraId="4F340762" w14:textId="77777777" w:rsidR="00003D27" w:rsidRDefault="00003D27" w:rsidP="00003D27">
      <w:pPr>
        <w:spacing w:after="0"/>
        <w:ind w:firstLine="720"/>
        <w:jc w:val="center"/>
        <w:rPr>
          <w:rFonts w:eastAsia="Times New Roman" w:cs="Times New Roman"/>
          <w:b/>
          <w:bCs/>
          <w:color w:val="0E101A"/>
          <w:szCs w:val="24"/>
        </w:rPr>
      </w:pPr>
    </w:p>
    <w:p w14:paraId="5FB4DF7A" w14:textId="77777777" w:rsidR="00003D27" w:rsidRDefault="00003D27" w:rsidP="00003D27">
      <w:pPr>
        <w:spacing w:after="0"/>
        <w:ind w:firstLine="720"/>
        <w:jc w:val="center"/>
        <w:rPr>
          <w:rFonts w:eastAsia="Times New Roman" w:cs="Times New Roman"/>
          <w:b/>
          <w:bCs/>
          <w:color w:val="0E101A"/>
          <w:szCs w:val="24"/>
        </w:rPr>
      </w:pPr>
    </w:p>
    <w:p w14:paraId="235F2435" w14:textId="77777777" w:rsidR="00003D27" w:rsidRDefault="00003D27" w:rsidP="00003D27">
      <w:pPr>
        <w:spacing w:after="0"/>
        <w:ind w:firstLine="720"/>
        <w:jc w:val="center"/>
        <w:rPr>
          <w:rFonts w:eastAsia="Times New Roman" w:cs="Times New Roman"/>
          <w:b/>
          <w:bCs/>
          <w:color w:val="0E101A"/>
          <w:szCs w:val="24"/>
        </w:rPr>
      </w:pPr>
    </w:p>
    <w:p w14:paraId="626722AC" w14:textId="77777777" w:rsidR="00003D27" w:rsidRDefault="00003D27" w:rsidP="00003D27">
      <w:pPr>
        <w:spacing w:after="0"/>
        <w:ind w:firstLine="720"/>
        <w:jc w:val="center"/>
        <w:rPr>
          <w:rFonts w:eastAsia="Times New Roman" w:cs="Times New Roman"/>
          <w:b/>
          <w:bCs/>
          <w:color w:val="0E101A"/>
          <w:szCs w:val="24"/>
        </w:rPr>
      </w:pPr>
    </w:p>
    <w:p w14:paraId="7A5F4387" w14:textId="77777777" w:rsidR="00003D27" w:rsidRDefault="00003D27" w:rsidP="00003D27">
      <w:pPr>
        <w:spacing w:after="0"/>
        <w:ind w:firstLine="720"/>
        <w:jc w:val="center"/>
        <w:rPr>
          <w:rFonts w:eastAsia="Times New Roman" w:cs="Times New Roman"/>
          <w:b/>
          <w:bCs/>
          <w:color w:val="0E101A"/>
          <w:szCs w:val="24"/>
        </w:rPr>
      </w:pPr>
    </w:p>
    <w:p w14:paraId="480870D8" w14:textId="77777777" w:rsidR="00003D27" w:rsidRDefault="00003D27" w:rsidP="00003D27">
      <w:pPr>
        <w:spacing w:after="0"/>
        <w:ind w:firstLine="720"/>
        <w:jc w:val="center"/>
        <w:rPr>
          <w:rFonts w:eastAsia="Times New Roman" w:cs="Times New Roman"/>
          <w:b/>
          <w:bCs/>
          <w:color w:val="0E101A"/>
          <w:szCs w:val="24"/>
        </w:rPr>
      </w:pPr>
    </w:p>
    <w:p w14:paraId="0B92FFF3" w14:textId="37EC72A2" w:rsidR="00003D27" w:rsidRPr="00003D27" w:rsidRDefault="00003D27" w:rsidP="00003D27">
      <w:pPr>
        <w:spacing w:after="0"/>
        <w:ind w:firstLine="720"/>
        <w:jc w:val="center"/>
        <w:rPr>
          <w:rFonts w:eastAsia="Times New Roman" w:cs="Times New Roman"/>
          <w:color w:val="0E101A"/>
          <w:szCs w:val="24"/>
        </w:rPr>
      </w:pPr>
      <w:r w:rsidRPr="00003D27">
        <w:rPr>
          <w:rFonts w:eastAsia="Times New Roman" w:cs="Times New Roman"/>
          <w:color w:val="0E101A"/>
          <w:szCs w:val="24"/>
        </w:rPr>
        <w:t>Student’s Name</w:t>
      </w:r>
    </w:p>
    <w:p w14:paraId="04F672A4" w14:textId="46B688C4" w:rsidR="00003D27" w:rsidRPr="00003D27" w:rsidRDefault="00003D27" w:rsidP="00003D27">
      <w:pPr>
        <w:spacing w:after="0"/>
        <w:ind w:firstLine="720"/>
        <w:jc w:val="center"/>
        <w:rPr>
          <w:rFonts w:eastAsia="Times New Roman" w:cs="Times New Roman"/>
          <w:color w:val="0E101A"/>
          <w:szCs w:val="24"/>
        </w:rPr>
      </w:pPr>
      <w:r w:rsidRPr="00003D27">
        <w:rPr>
          <w:rFonts w:eastAsia="Times New Roman" w:cs="Times New Roman"/>
          <w:color w:val="0E101A"/>
          <w:szCs w:val="24"/>
        </w:rPr>
        <w:t xml:space="preserve">Institutional Affiliation </w:t>
      </w:r>
    </w:p>
    <w:p w14:paraId="484F3DA5" w14:textId="5C3BA1CF" w:rsidR="00003D27" w:rsidRPr="00003D27" w:rsidRDefault="00003D27" w:rsidP="00003D27">
      <w:pPr>
        <w:spacing w:after="0"/>
        <w:ind w:firstLine="720"/>
        <w:jc w:val="center"/>
        <w:rPr>
          <w:rFonts w:eastAsia="Times New Roman" w:cs="Times New Roman"/>
          <w:color w:val="0E101A"/>
          <w:szCs w:val="24"/>
        </w:rPr>
      </w:pPr>
      <w:r w:rsidRPr="00003D27">
        <w:rPr>
          <w:rFonts w:eastAsia="Times New Roman" w:cs="Times New Roman"/>
          <w:color w:val="0E101A"/>
          <w:szCs w:val="24"/>
        </w:rPr>
        <w:t>Date</w:t>
      </w:r>
    </w:p>
    <w:p w14:paraId="25F946E5" w14:textId="77777777" w:rsidR="00003D27" w:rsidRDefault="00003D27" w:rsidP="00003D27">
      <w:pPr>
        <w:spacing w:after="0"/>
        <w:ind w:firstLine="720"/>
        <w:jc w:val="center"/>
        <w:rPr>
          <w:rFonts w:eastAsia="Times New Roman" w:cs="Times New Roman"/>
          <w:b/>
          <w:bCs/>
          <w:color w:val="0E101A"/>
          <w:szCs w:val="24"/>
        </w:rPr>
      </w:pPr>
    </w:p>
    <w:p w14:paraId="0ED33B43" w14:textId="77777777" w:rsidR="00003D27" w:rsidRDefault="00003D27" w:rsidP="00003D27">
      <w:pPr>
        <w:spacing w:after="0"/>
        <w:ind w:firstLine="720"/>
        <w:jc w:val="center"/>
        <w:rPr>
          <w:rFonts w:eastAsia="Times New Roman" w:cs="Times New Roman"/>
          <w:b/>
          <w:bCs/>
          <w:color w:val="0E101A"/>
          <w:szCs w:val="24"/>
        </w:rPr>
      </w:pPr>
    </w:p>
    <w:p w14:paraId="701B661E" w14:textId="77777777" w:rsidR="00003D27" w:rsidRDefault="00003D27" w:rsidP="00003D27">
      <w:pPr>
        <w:spacing w:after="0"/>
        <w:ind w:firstLine="720"/>
        <w:jc w:val="center"/>
        <w:rPr>
          <w:rFonts w:eastAsia="Times New Roman" w:cs="Times New Roman"/>
          <w:b/>
          <w:bCs/>
          <w:color w:val="0E101A"/>
          <w:szCs w:val="24"/>
        </w:rPr>
      </w:pPr>
    </w:p>
    <w:p w14:paraId="62171BC6" w14:textId="77777777" w:rsidR="00003D27" w:rsidRDefault="00003D27" w:rsidP="00003D27">
      <w:pPr>
        <w:spacing w:after="0"/>
        <w:ind w:firstLine="720"/>
        <w:jc w:val="center"/>
        <w:rPr>
          <w:rFonts w:eastAsia="Times New Roman" w:cs="Times New Roman"/>
          <w:b/>
          <w:bCs/>
          <w:color w:val="0E101A"/>
          <w:szCs w:val="24"/>
        </w:rPr>
      </w:pPr>
    </w:p>
    <w:p w14:paraId="06AC3ED9" w14:textId="77777777" w:rsidR="00003D27" w:rsidRDefault="00003D27" w:rsidP="00003D27">
      <w:pPr>
        <w:spacing w:after="0"/>
        <w:ind w:firstLine="720"/>
        <w:jc w:val="center"/>
        <w:rPr>
          <w:rFonts w:eastAsia="Times New Roman" w:cs="Times New Roman"/>
          <w:b/>
          <w:bCs/>
          <w:color w:val="0E101A"/>
          <w:szCs w:val="24"/>
        </w:rPr>
      </w:pPr>
    </w:p>
    <w:p w14:paraId="58D31A23" w14:textId="77777777" w:rsidR="00003D27" w:rsidRDefault="00003D27" w:rsidP="00003D27">
      <w:pPr>
        <w:spacing w:after="0"/>
        <w:ind w:firstLine="720"/>
        <w:jc w:val="center"/>
        <w:rPr>
          <w:rFonts w:eastAsia="Times New Roman" w:cs="Times New Roman"/>
          <w:b/>
          <w:bCs/>
          <w:color w:val="0E101A"/>
          <w:szCs w:val="24"/>
        </w:rPr>
      </w:pPr>
    </w:p>
    <w:p w14:paraId="229A28B2" w14:textId="77777777" w:rsidR="00003D27" w:rsidRDefault="00003D27" w:rsidP="00003D27">
      <w:pPr>
        <w:spacing w:after="0"/>
        <w:ind w:firstLine="720"/>
        <w:jc w:val="center"/>
        <w:rPr>
          <w:rFonts w:eastAsia="Times New Roman" w:cs="Times New Roman"/>
          <w:b/>
          <w:bCs/>
          <w:color w:val="0E101A"/>
          <w:szCs w:val="24"/>
        </w:rPr>
      </w:pPr>
    </w:p>
    <w:p w14:paraId="231D5FA8" w14:textId="77777777" w:rsidR="00003D27" w:rsidRDefault="00003D27" w:rsidP="00003D27">
      <w:pPr>
        <w:spacing w:after="0"/>
        <w:ind w:firstLine="720"/>
        <w:jc w:val="center"/>
        <w:rPr>
          <w:rFonts w:eastAsia="Times New Roman" w:cs="Times New Roman"/>
          <w:b/>
          <w:bCs/>
          <w:color w:val="0E101A"/>
          <w:szCs w:val="24"/>
        </w:rPr>
      </w:pPr>
    </w:p>
    <w:p w14:paraId="3D96B2E2" w14:textId="77777777" w:rsidR="00003D27" w:rsidRDefault="00003D27" w:rsidP="00003D27">
      <w:pPr>
        <w:spacing w:after="0"/>
        <w:ind w:firstLine="720"/>
        <w:jc w:val="center"/>
        <w:rPr>
          <w:rFonts w:eastAsia="Times New Roman" w:cs="Times New Roman"/>
          <w:b/>
          <w:bCs/>
          <w:color w:val="0E101A"/>
          <w:szCs w:val="24"/>
        </w:rPr>
      </w:pPr>
    </w:p>
    <w:p w14:paraId="5E7CE53B" w14:textId="77777777" w:rsidR="00003D27" w:rsidRDefault="00003D27" w:rsidP="00003D27">
      <w:pPr>
        <w:spacing w:after="0"/>
        <w:rPr>
          <w:rFonts w:eastAsia="Times New Roman" w:cs="Times New Roman"/>
          <w:b/>
          <w:bCs/>
          <w:color w:val="0E101A"/>
          <w:szCs w:val="24"/>
        </w:rPr>
      </w:pPr>
    </w:p>
    <w:p w14:paraId="21180893" w14:textId="044ECF8C" w:rsidR="00003D27" w:rsidRDefault="00003D27" w:rsidP="00003D27">
      <w:pPr>
        <w:spacing w:after="0"/>
        <w:jc w:val="center"/>
        <w:rPr>
          <w:rFonts w:eastAsia="Times New Roman" w:cs="Times New Roman"/>
          <w:b/>
          <w:bCs/>
          <w:color w:val="0E101A"/>
          <w:szCs w:val="24"/>
        </w:rPr>
      </w:pPr>
      <w:r>
        <w:rPr>
          <w:rFonts w:eastAsia="Times New Roman" w:cs="Times New Roman"/>
          <w:b/>
          <w:bCs/>
          <w:color w:val="0E101A"/>
          <w:szCs w:val="24"/>
        </w:rPr>
        <w:lastRenderedPageBreak/>
        <w:t>Assignment Two</w:t>
      </w:r>
    </w:p>
    <w:p w14:paraId="350F430A" w14:textId="624F8E6E" w:rsidR="00003D27" w:rsidRPr="004D5F01" w:rsidRDefault="00003D27" w:rsidP="00003D27">
      <w:pPr>
        <w:spacing w:after="0"/>
        <w:ind w:firstLine="720"/>
        <w:rPr>
          <w:rFonts w:eastAsia="Times New Roman" w:cs="Times New Roman"/>
          <w:color w:val="0E101A"/>
          <w:szCs w:val="24"/>
        </w:rPr>
      </w:pPr>
      <w:r w:rsidRPr="004D5F01">
        <w:rPr>
          <w:rFonts w:eastAsia="Times New Roman" w:cs="Times New Roman"/>
          <w:color w:val="0E101A"/>
          <w:szCs w:val="24"/>
        </w:rPr>
        <w:t>IFRS and US GAAP are two critical sets of accounting standards revered by organizations. Even though GAAP and US GAAP have several similarities, they have significant differences. The formatting of a balance sheet in the US is different compared to other countries. For instance, whereas current assets are listed first under GAAP, a balance sheet created under IFRS starts with non-current assets (Winiarska, 2020). Also, the standards have, unlike tactics to ordering classifications in the balance sheet. Under GAAP, accounts are listed based on how swiftly and effortlessly they can be changed to cash. On the other hand, orders are reversed under the IFRS from the least liquid to the most liquid. In the income statement, the US GAAP prescribes a single-step or multistep format, while under IFRS, no standard format is required. Also, under GAAP, extraordinary items are listed in the column of net income. However, with IFRS, exceptional items are not separated.</w:t>
      </w:r>
    </w:p>
    <w:p w14:paraId="258BB126" w14:textId="77777777" w:rsidR="00003D27" w:rsidRPr="004D5F01" w:rsidRDefault="00003D27" w:rsidP="00003D27">
      <w:pPr>
        <w:spacing w:after="0"/>
        <w:ind w:firstLine="720"/>
        <w:rPr>
          <w:rFonts w:eastAsia="Times New Roman" w:cs="Times New Roman"/>
          <w:color w:val="0E101A"/>
          <w:szCs w:val="24"/>
        </w:rPr>
      </w:pPr>
      <w:r w:rsidRPr="004D5F01">
        <w:rPr>
          <w:rFonts w:eastAsia="Times New Roman" w:cs="Times New Roman"/>
          <w:color w:val="0E101A"/>
          <w:szCs w:val="24"/>
        </w:rPr>
        <w:t>The cash flow statement of a business is prepared in a different way under IFRS and US GAAP. Typically, this is demonstrated in the classification of interests and dividends. GAAP recommends that interest paid and interest received ought to be categorized as operating activities. Contrarily, a company can select its policy for categorizing interest based on things it deliberates as appropriate. Besides, similar differences can be distinguished in the classification of dividends. Under IFRS, organizations are provided with categorizing dividends (Sharif, &amp; Azeez, 2021). However, GAAP suggests that dividends rewarded can be accounted for within the financial section and the dividends collected in the operating area.</w:t>
      </w:r>
    </w:p>
    <w:p w14:paraId="7B17C276" w14:textId="77777777" w:rsidR="00003D27" w:rsidRPr="004D5F01" w:rsidRDefault="00003D27" w:rsidP="00003D27">
      <w:pPr>
        <w:spacing w:after="0"/>
        <w:ind w:firstLine="720"/>
        <w:rPr>
          <w:rFonts w:eastAsia="Times New Roman" w:cs="Times New Roman"/>
          <w:color w:val="0E101A"/>
          <w:szCs w:val="24"/>
        </w:rPr>
      </w:pPr>
      <w:r w:rsidRPr="004D5F01">
        <w:rPr>
          <w:rFonts w:eastAsia="Times New Roman" w:cs="Times New Roman"/>
          <w:color w:val="0E101A"/>
          <w:szCs w:val="24"/>
        </w:rPr>
        <w:t xml:space="preserve">The Statement of Owner’s Equity is prepared by a sole proprietorship business to show changes in the capital account. The changes usually are a result of contributions, withdrawals, net income, and net loss. Under GAAP rules, the statement is not required to be presented as a </w:t>
      </w:r>
      <w:r w:rsidRPr="004D5F01">
        <w:rPr>
          <w:rFonts w:eastAsia="Times New Roman" w:cs="Times New Roman"/>
          <w:color w:val="0E101A"/>
          <w:szCs w:val="24"/>
        </w:rPr>
        <w:lastRenderedPageBreak/>
        <w:t>separate document. However, under IFRS rules, the statement is required as a separate document. Usually, the Statement of Owner’s Equity is similar under GAAP and IFRS.</w:t>
      </w:r>
    </w:p>
    <w:p w14:paraId="598C29E4" w14:textId="77777777" w:rsidR="00003D27" w:rsidRPr="004D5F01" w:rsidRDefault="00003D27" w:rsidP="00003D27">
      <w:pPr>
        <w:spacing w:after="0"/>
        <w:ind w:firstLine="720"/>
        <w:rPr>
          <w:rFonts w:eastAsia="Times New Roman" w:cs="Times New Roman"/>
          <w:color w:val="0E101A"/>
          <w:szCs w:val="24"/>
        </w:rPr>
      </w:pPr>
      <w:r w:rsidRPr="004D5F01">
        <w:rPr>
          <w:rFonts w:eastAsia="Times New Roman" w:cs="Times New Roman"/>
          <w:color w:val="0E101A"/>
          <w:szCs w:val="24"/>
        </w:rPr>
        <w:t>The changes will immensely impact the financial reporting of US corporations. For instance, they will ensure more consistent financial reporting within businesses in the US. Since most companies have adapted their financial reporting processes under GAAP standards, migrating to IFRS standards will see them experience significant changes. For example, they will choose flexibility because many IFRS rules prescribe that businesses can select between alternative treatments to account for a specific item.</w:t>
      </w:r>
    </w:p>
    <w:p w14:paraId="6BDF3F3F" w14:textId="0235CF41" w:rsidR="009E3951" w:rsidRDefault="009E3951"/>
    <w:p w14:paraId="655CAE34" w14:textId="2F93E692" w:rsidR="00003D27" w:rsidRDefault="00003D27"/>
    <w:p w14:paraId="58014C2C" w14:textId="44D42BB8" w:rsidR="00003D27" w:rsidRDefault="00003D27"/>
    <w:p w14:paraId="1A9E15BA" w14:textId="3DB438EB" w:rsidR="00003D27" w:rsidRDefault="00003D27"/>
    <w:p w14:paraId="45F859A0" w14:textId="63932930" w:rsidR="00003D27" w:rsidRDefault="00003D27"/>
    <w:p w14:paraId="1F9FFD04" w14:textId="57BA4F7A" w:rsidR="00003D27" w:rsidRDefault="00003D27"/>
    <w:p w14:paraId="2187F109" w14:textId="7736A774" w:rsidR="00003D27" w:rsidRDefault="00003D27"/>
    <w:p w14:paraId="06C30E65" w14:textId="040BF8E9" w:rsidR="00003D27" w:rsidRDefault="00003D27"/>
    <w:p w14:paraId="5A58A94E" w14:textId="16640B0D" w:rsidR="00003D27" w:rsidRDefault="00003D27"/>
    <w:p w14:paraId="1708B2EA" w14:textId="43C46F88" w:rsidR="00003D27" w:rsidRDefault="00003D27"/>
    <w:p w14:paraId="61F79AE8" w14:textId="72FEA2B3" w:rsidR="00003D27" w:rsidRDefault="00003D27"/>
    <w:p w14:paraId="7C9F8B8F" w14:textId="0FB9D9AC" w:rsidR="00003D27" w:rsidRDefault="00003D27"/>
    <w:p w14:paraId="67E0648A" w14:textId="144C4C78" w:rsidR="00003D27" w:rsidRDefault="00003D27" w:rsidP="00003D27">
      <w:pPr>
        <w:jc w:val="center"/>
        <w:rPr>
          <w:b/>
          <w:bCs/>
        </w:rPr>
      </w:pPr>
      <w:r w:rsidRPr="00003D27">
        <w:rPr>
          <w:b/>
          <w:bCs/>
        </w:rPr>
        <w:lastRenderedPageBreak/>
        <w:t>References</w:t>
      </w:r>
    </w:p>
    <w:p w14:paraId="7D6629DC" w14:textId="691B0B86" w:rsidR="00003D27" w:rsidRPr="00F8365E" w:rsidRDefault="00003D27" w:rsidP="00003D27">
      <w:pPr>
        <w:spacing w:after="0"/>
        <w:ind w:left="720" w:hanging="720"/>
        <w:rPr>
          <w:rFonts w:eastAsia="Times New Roman" w:cs="Times New Roman"/>
          <w:szCs w:val="24"/>
        </w:rPr>
      </w:pPr>
      <w:r w:rsidRPr="00F8365E">
        <w:rPr>
          <w:rFonts w:eastAsia="Times New Roman" w:cs="Times New Roman"/>
          <w:szCs w:val="24"/>
        </w:rPr>
        <w:t xml:space="preserve">Sharif, R. J. M., &amp; Azeez, T. Y. (2021). A </w:t>
      </w:r>
      <w:r w:rsidRPr="00F8365E">
        <w:rPr>
          <w:rFonts w:eastAsia="Times New Roman" w:cs="Times New Roman"/>
          <w:szCs w:val="24"/>
        </w:rPr>
        <w:t>comparison of ifrs and us gaap with potential effects on investment analysis</w:t>
      </w:r>
      <w:r w:rsidRPr="00F8365E">
        <w:rPr>
          <w:rFonts w:eastAsia="Times New Roman" w:cs="Times New Roman"/>
          <w:szCs w:val="24"/>
        </w:rPr>
        <w:t xml:space="preserve">. </w:t>
      </w:r>
      <w:r w:rsidRPr="00F8365E">
        <w:rPr>
          <w:rFonts w:eastAsia="Times New Roman" w:cs="Times New Roman"/>
          <w:i/>
          <w:iCs/>
          <w:szCs w:val="24"/>
        </w:rPr>
        <w:t>PalArch's Journal of Archaeology of Egypt/Egyptology</w:t>
      </w:r>
      <w:r w:rsidRPr="00F8365E">
        <w:rPr>
          <w:rFonts w:eastAsia="Times New Roman" w:cs="Times New Roman"/>
          <w:szCs w:val="24"/>
        </w:rPr>
        <w:t xml:space="preserve">, </w:t>
      </w:r>
      <w:r w:rsidRPr="00F8365E">
        <w:rPr>
          <w:rFonts w:eastAsia="Times New Roman" w:cs="Times New Roman"/>
          <w:i/>
          <w:iCs/>
          <w:szCs w:val="24"/>
        </w:rPr>
        <w:t>18</w:t>
      </w:r>
      <w:r w:rsidRPr="00F8365E">
        <w:rPr>
          <w:rFonts w:eastAsia="Times New Roman" w:cs="Times New Roman"/>
          <w:szCs w:val="24"/>
        </w:rPr>
        <w:t>(4), 6177-6187.</w:t>
      </w:r>
    </w:p>
    <w:p w14:paraId="5360DA93" w14:textId="55375E07" w:rsidR="00003D27" w:rsidRPr="00F8365E" w:rsidRDefault="00003D27" w:rsidP="00003D27">
      <w:pPr>
        <w:spacing w:after="0"/>
        <w:ind w:left="720" w:hanging="720"/>
        <w:rPr>
          <w:rFonts w:eastAsia="Times New Roman" w:cs="Times New Roman"/>
          <w:szCs w:val="24"/>
        </w:rPr>
      </w:pPr>
      <w:r w:rsidRPr="00F8365E">
        <w:rPr>
          <w:rFonts w:eastAsia="Times New Roman" w:cs="Times New Roman"/>
          <w:szCs w:val="24"/>
        </w:rPr>
        <w:t xml:space="preserve">Winiarska, K. (2020). </w:t>
      </w:r>
      <w:r>
        <w:rPr>
          <w:rFonts w:eastAsia="Times New Roman" w:cs="Times New Roman"/>
          <w:szCs w:val="24"/>
        </w:rPr>
        <w:t>D</w:t>
      </w:r>
      <w:r w:rsidRPr="00F8365E">
        <w:rPr>
          <w:rFonts w:eastAsia="Times New Roman" w:cs="Times New Roman"/>
          <w:szCs w:val="24"/>
        </w:rPr>
        <w:t>ifferences between new ifrs and us gaap lease standards and their effects on publicly listed companies</w:t>
      </w:r>
      <w:r w:rsidRPr="00F8365E">
        <w:rPr>
          <w:rFonts w:eastAsia="Times New Roman" w:cs="Times New Roman"/>
          <w:szCs w:val="24"/>
        </w:rPr>
        <w:t xml:space="preserve">. </w:t>
      </w:r>
      <w:r w:rsidRPr="00F8365E">
        <w:rPr>
          <w:rFonts w:eastAsia="Times New Roman" w:cs="Times New Roman"/>
          <w:i/>
          <w:iCs/>
          <w:szCs w:val="24"/>
        </w:rPr>
        <w:t>Financial Internet Quarterly'e-Finanse'</w:t>
      </w:r>
      <w:r w:rsidRPr="00F8365E">
        <w:rPr>
          <w:rFonts w:eastAsia="Times New Roman" w:cs="Times New Roman"/>
          <w:szCs w:val="24"/>
        </w:rPr>
        <w:t xml:space="preserve">, </w:t>
      </w:r>
      <w:r w:rsidRPr="00F8365E">
        <w:rPr>
          <w:rFonts w:eastAsia="Times New Roman" w:cs="Times New Roman"/>
          <w:i/>
          <w:iCs/>
          <w:szCs w:val="24"/>
        </w:rPr>
        <w:t>16</w:t>
      </w:r>
      <w:r w:rsidRPr="00F8365E">
        <w:rPr>
          <w:rFonts w:eastAsia="Times New Roman" w:cs="Times New Roman"/>
          <w:szCs w:val="24"/>
        </w:rPr>
        <w:t>(2).</w:t>
      </w:r>
    </w:p>
    <w:p w14:paraId="4E1E59C1" w14:textId="77777777" w:rsidR="00003D27" w:rsidRPr="00003D27" w:rsidRDefault="00003D27" w:rsidP="00003D27">
      <w:pPr>
        <w:jc w:val="center"/>
        <w:rPr>
          <w:b/>
          <w:bCs/>
        </w:rPr>
      </w:pPr>
    </w:p>
    <w:sectPr w:rsidR="00003D27" w:rsidRPr="00003D27" w:rsidSect="00003D2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1F53" w14:textId="77777777" w:rsidR="00C20E81" w:rsidRDefault="00C20E81" w:rsidP="00003D27">
      <w:pPr>
        <w:spacing w:after="0" w:line="240" w:lineRule="auto"/>
      </w:pPr>
      <w:r>
        <w:separator/>
      </w:r>
    </w:p>
  </w:endnote>
  <w:endnote w:type="continuationSeparator" w:id="0">
    <w:p w14:paraId="1C333630" w14:textId="77777777" w:rsidR="00C20E81" w:rsidRDefault="00C20E81" w:rsidP="0000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A4FB" w14:textId="77777777" w:rsidR="00C20E81" w:rsidRDefault="00C20E81" w:rsidP="00003D27">
      <w:pPr>
        <w:spacing w:after="0" w:line="240" w:lineRule="auto"/>
      </w:pPr>
      <w:r>
        <w:separator/>
      </w:r>
    </w:p>
  </w:footnote>
  <w:footnote w:type="continuationSeparator" w:id="0">
    <w:p w14:paraId="2BC70AA8" w14:textId="77777777" w:rsidR="00C20E81" w:rsidRDefault="00C20E81" w:rsidP="0000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7F0B" w14:textId="50657E00" w:rsidR="00003D27" w:rsidRDefault="00003D27" w:rsidP="00003D27">
    <w:pPr>
      <w:pStyle w:val="Header"/>
      <w:ind w:left="4680" w:firstLine="4680"/>
    </w:pP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220A" w14:textId="5404AC15" w:rsidR="00003D27" w:rsidRDefault="00003D27">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27"/>
    <w:rsid w:val="00003D27"/>
    <w:rsid w:val="009E3951"/>
    <w:rsid w:val="00C2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E61B"/>
  <w15:chartTrackingRefBased/>
  <w15:docId w15:val="{63CA17DD-CC8A-47BB-B98C-5282BB1B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27"/>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D27"/>
    <w:rPr>
      <w:rFonts w:ascii="Times New Roman" w:hAnsi="Times New Roman"/>
      <w:sz w:val="24"/>
    </w:rPr>
  </w:style>
  <w:style w:type="paragraph" w:styleId="Footer">
    <w:name w:val="footer"/>
    <w:basedOn w:val="Normal"/>
    <w:link w:val="FooterChar"/>
    <w:uiPriority w:val="99"/>
    <w:unhideWhenUsed/>
    <w:rsid w:val="0000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D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Wangai</dc:creator>
  <cp:keywords/>
  <dc:description/>
  <cp:lastModifiedBy>Kenneth Wangai</cp:lastModifiedBy>
  <cp:revision>1</cp:revision>
  <dcterms:created xsi:type="dcterms:W3CDTF">2021-05-25T17:54:00Z</dcterms:created>
  <dcterms:modified xsi:type="dcterms:W3CDTF">2021-05-25T18:08:00Z</dcterms:modified>
</cp:coreProperties>
</file>